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r w:rsidR="007C3FA0">
        <w:rPr>
          <w:sz w:val="22"/>
          <w:szCs w:val="22"/>
        </w:rPr>
        <w:t>руководителя бюро ГИП Пуховской Натальи Борисовны</w:t>
      </w:r>
      <w:r w:rsidR="007C3FA0" w:rsidRPr="00523000">
        <w:rPr>
          <w:bCs/>
          <w:sz w:val="22"/>
          <w:szCs w:val="22"/>
        </w:rPr>
        <w:t>, действующе</w:t>
      </w:r>
      <w:r w:rsidR="007C3FA0">
        <w:rPr>
          <w:bCs/>
          <w:sz w:val="22"/>
          <w:szCs w:val="22"/>
        </w:rPr>
        <w:t>й</w:t>
      </w:r>
      <w:r w:rsidR="007C3FA0" w:rsidRPr="00523000">
        <w:rPr>
          <w:bCs/>
          <w:sz w:val="22"/>
          <w:szCs w:val="22"/>
        </w:rPr>
        <w:t xml:space="preserve"> на</w:t>
      </w:r>
      <w:r w:rsidR="007C3FA0">
        <w:rPr>
          <w:bCs/>
          <w:sz w:val="22"/>
          <w:szCs w:val="22"/>
        </w:rPr>
        <w:t xml:space="preserve"> основании доверенности </w:t>
      </w:r>
      <w:r w:rsidR="001E5075" w:rsidRPr="00AF4059">
        <w:rPr>
          <w:bCs/>
          <w:sz w:val="22"/>
          <w:szCs w:val="22"/>
        </w:rPr>
        <w:t>№ 27 от 01.11.2023 и приказа № 54-ЛС от 10.04.2023</w:t>
      </w:r>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003E06" w:rsidRDefault="00C53568" w:rsidP="00D75976">
      <w:pPr>
        <w:ind w:firstLine="709"/>
        <w:jc w:val="both"/>
        <w:rPr>
          <w:color w:val="0000FF"/>
          <w:sz w:val="22"/>
          <w:szCs w:val="22"/>
        </w:rPr>
      </w:pPr>
      <w:r w:rsidRPr="00BE2872">
        <w:rPr>
          <w:sz w:val="22"/>
          <w:szCs w:val="22"/>
        </w:rPr>
        <w:t xml:space="preserve">1.1. Субподрядчик обязуется в установленный настоящим договором срок по заданию Генподрядчика </w:t>
      </w:r>
      <w:r w:rsidR="00003E06">
        <w:rPr>
          <w:color w:val="0000FF"/>
          <w:sz w:val="22"/>
          <w:szCs w:val="22"/>
        </w:rPr>
        <w:t xml:space="preserve">выполнить </w:t>
      </w:r>
      <w:r w:rsidR="00D75976" w:rsidRPr="00D75976">
        <w:rPr>
          <w:color w:val="0000FF"/>
          <w:sz w:val="22"/>
          <w:szCs w:val="22"/>
        </w:rPr>
        <w:t>гидравлическ</w:t>
      </w:r>
      <w:r w:rsidR="00D75976">
        <w:rPr>
          <w:color w:val="0000FF"/>
          <w:sz w:val="22"/>
          <w:szCs w:val="22"/>
        </w:rPr>
        <w:t>ий расчет</w:t>
      </w:r>
      <w:r w:rsidR="00D75976" w:rsidRPr="00D75976">
        <w:rPr>
          <w:color w:val="0000FF"/>
          <w:sz w:val="22"/>
          <w:szCs w:val="22"/>
        </w:rPr>
        <w:t xml:space="preserve"> по объекту: «Разработка мероприятий по обеспечению технической возможности технологического перевода нагрузки потребителей котельных пос. Жилкино, расположенных по ул. Воровского, 18А, ул. Шахтерская, 22 и котельной Мясокомбината на котельную по ул. 1ая Московская, 1»</w:t>
      </w:r>
      <w:r w:rsidR="00003E06" w:rsidRPr="00BE2872">
        <w:rPr>
          <w:sz w:val="22"/>
          <w:szCs w:val="22"/>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D75976" w:rsidRPr="00D75976">
        <w:rPr>
          <w:rFonts w:eastAsiaTheme="minorHAnsi"/>
          <w:color w:val="0000FF"/>
          <w:sz w:val="22"/>
          <w:szCs w:val="22"/>
          <w:lang w:eastAsia="en-US"/>
        </w:rPr>
        <w:t>подряда</w:t>
      </w:r>
      <w:r w:rsidR="00D75976">
        <w:rPr>
          <w:rFonts w:eastAsiaTheme="minorHAnsi"/>
          <w:color w:val="0000FF"/>
          <w:sz w:val="22"/>
          <w:szCs w:val="22"/>
          <w:lang w:eastAsia="en-US"/>
        </w:rPr>
        <w:t xml:space="preserve"> на выполнение проектно-изыскательских работ по реконструкции, техническому перевооружению и новому строительству объектов капитального строительства АО «Байкалэнерго»</w:t>
      </w:r>
      <w:r w:rsidR="00D75976" w:rsidRPr="00D75976">
        <w:rPr>
          <w:rFonts w:eastAsiaTheme="minorHAnsi"/>
          <w:color w:val="0000FF"/>
          <w:sz w:val="22"/>
          <w:szCs w:val="22"/>
          <w:lang w:eastAsia="en-US"/>
        </w:rPr>
        <w:t xml:space="preserve"> </w:t>
      </w:r>
      <w:r w:rsidR="00D75976">
        <w:rPr>
          <w:rFonts w:eastAsiaTheme="minorHAnsi"/>
          <w:color w:val="0000FF"/>
          <w:sz w:val="22"/>
          <w:szCs w:val="22"/>
          <w:lang w:eastAsia="en-US"/>
        </w:rPr>
        <w:t>№312-06/117-22 от 14.10.2022 года.</w:t>
      </w:r>
      <w:bookmarkStart w:id="9" w:name="_GoBack"/>
      <w:bookmarkEnd w:id="9"/>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006F7B20">
        <w:rPr>
          <w:rFonts w:eastAsiaTheme="minorHAnsi"/>
          <w:b/>
          <w:color w:val="0000FF"/>
          <w:sz w:val="22"/>
          <w:szCs w:val="22"/>
          <w:lang w:eastAsia="en-US"/>
        </w:rPr>
        <w:t>14</w:t>
      </w:r>
      <w:r w:rsidRPr="00BE2872">
        <w:rPr>
          <w:rFonts w:eastAsiaTheme="minorHAnsi"/>
          <w:b/>
          <w:color w:val="0000FF"/>
          <w:kern w:val="28"/>
          <w:sz w:val="22"/>
          <w:szCs w:val="22"/>
          <w:lang w:eastAsia="en-US"/>
        </w:rPr>
        <w:t xml:space="preserve"> (</w:t>
      </w:r>
      <w:r w:rsidR="006F7B20">
        <w:rPr>
          <w:rFonts w:eastAsiaTheme="minorHAnsi"/>
          <w:b/>
          <w:color w:val="0000FF"/>
          <w:kern w:val="28"/>
          <w:sz w:val="22"/>
          <w:szCs w:val="22"/>
          <w:lang w:eastAsia="en-US"/>
        </w:rPr>
        <w:t>четырнадцати</w:t>
      </w:r>
      <w:r w:rsidRPr="00BE2872">
        <w:rPr>
          <w:rFonts w:eastAsiaTheme="minorHAnsi"/>
          <w:b/>
          <w:color w:val="0000FF"/>
          <w:kern w:val="28"/>
          <w:sz w:val="22"/>
          <w:szCs w:val="22"/>
          <w:lang w:eastAsia="en-US"/>
        </w:rPr>
        <w:t>)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lastRenderedPageBreak/>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 xml:space="preserve">Субподрядчик предоставляет Генподрядчику (Заказчику) не реже 1 раза в месяц или до момента прекращения работ отчетность по охране труда по унифицированной форме (Приложение № </w:t>
      </w:r>
      <w:r w:rsidRPr="00D31126">
        <w:rPr>
          <w:rFonts w:eastAsia="Calibri"/>
          <w:bCs/>
          <w:color w:val="0000FF"/>
          <w:sz w:val="22"/>
          <w:szCs w:val="22"/>
          <w:lang w:eastAsia="en-US"/>
        </w:rPr>
        <w:lastRenderedPageBreak/>
        <w:t>10).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lastRenderedPageBreak/>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183C29">
        <w:rPr>
          <w:color w:val="0000FF"/>
          <w:sz w:val="22"/>
          <w:szCs w:val="22"/>
        </w:rPr>
        <w:t>24 месяца</w:t>
      </w:r>
      <w:r w:rsidR="00C52ED1">
        <w:rPr>
          <w:color w:val="0000FF"/>
          <w:sz w:val="22"/>
          <w:szCs w:val="22"/>
        </w:rPr>
        <w:t>_________</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 xml:space="preserve">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w:t>
      </w:r>
      <w:r w:rsidRPr="00BE2872">
        <w:rPr>
          <w:sz w:val="22"/>
          <w:szCs w:val="22"/>
        </w:rPr>
        <w:lastRenderedPageBreak/>
        <w:t>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 xml:space="preserve">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w:t>
      </w:r>
      <w:r w:rsidRPr="00BE2872">
        <w:rPr>
          <w:sz w:val="22"/>
          <w:szCs w:val="22"/>
        </w:rPr>
        <w:lastRenderedPageBreak/>
        <w:t>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 xml:space="preserve">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Pr="00BE2872">
        <w:rPr>
          <w:sz w:val="22"/>
          <w:szCs w:val="22"/>
        </w:rPr>
        <w:lastRenderedPageBreak/>
        <w:t>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lastRenderedPageBreak/>
        <w:t>8.7.</w:t>
      </w:r>
      <w:r w:rsidRPr="00BE2872">
        <w:rPr>
          <w:sz w:val="22"/>
          <w:szCs w:val="22"/>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 xml:space="preserve">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w:t>
      </w:r>
      <w:r w:rsidRPr="00BE2872">
        <w:rPr>
          <w:bCs/>
          <w:sz w:val="22"/>
          <w:szCs w:val="22"/>
        </w:rPr>
        <w:lastRenderedPageBreak/>
        <w:t>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w:t>
      </w:r>
      <w:r w:rsidRPr="00BE2872">
        <w:rPr>
          <w:rFonts w:ascii="Times New Roman" w:hAnsi="Times New Roman" w:cs="Times New Roman"/>
          <w:bCs/>
        </w:rPr>
        <w:lastRenderedPageBreak/>
        <w:t>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D31126" w:rsidRPr="00D31126" w:rsidRDefault="00D31126"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10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D75976"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p>
          <w:p w:rsidR="007C3FA0" w:rsidRPr="00BE2872" w:rsidRDefault="007C3FA0" w:rsidP="006F20E5">
            <w:pPr>
              <w:rPr>
                <w:rFonts w:eastAsiaTheme="minorHAnsi"/>
                <w:b/>
                <w:sz w:val="22"/>
                <w:szCs w:val="22"/>
                <w:lang w:eastAsia="en-US"/>
              </w:rPr>
            </w:pPr>
          </w:p>
          <w:p w:rsidR="006F20E5" w:rsidRPr="00BE2872" w:rsidRDefault="006F20E5" w:rsidP="006F20E5">
            <w:pPr>
              <w:rPr>
                <w:bCs/>
                <w:sz w:val="22"/>
                <w:szCs w:val="22"/>
              </w:rPr>
            </w:pPr>
          </w:p>
          <w:tbl>
            <w:tblPr>
              <w:tblW w:w="9636" w:type="dxa"/>
              <w:tblLayout w:type="fixed"/>
              <w:tblLook w:val="04A0" w:firstRow="1" w:lastRow="0" w:firstColumn="1" w:lastColumn="0" w:noHBand="0" w:noVBand="1"/>
            </w:tblPr>
            <w:tblGrid>
              <w:gridCol w:w="5068"/>
              <w:gridCol w:w="4568"/>
            </w:tblGrid>
            <w:tr w:rsidR="003D5169" w:rsidRPr="00BE2872" w:rsidTr="007C3FA0">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7C3FA0" w:rsidRPr="00BE2872" w:rsidTr="007C3FA0">
              <w:trPr>
                <w:trHeight w:val="345"/>
              </w:trPr>
              <w:tc>
                <w:tcPr>
                  <w:tcW w:w="5068" w:type="dxa"/>
                </w:tcPr>
                <w:p w:rsidR="007C3FA0" w:rsidRPr="009F5E0A" w:rsidRDefault="007C3FA0" w:rsidP="007C3FA0">
                  <w:pPr>
                    <w:ind w:left="885" w:hanging="885"/>
                    <w:jc w:val="both"/>
                    <w:rPr>
                      <w:sz w:val="22"/>
                      <w:szCs w:val="22"/>
                    </w:rPr>
                  </w:pPr>
                </w:p>
              </w:tc>
              <w:tc>
                <w:tcPr>
                  <w:tcW w:w="4568" w:type="dxa"/>
                </w:tcPr>
                <w:p w:rsidR="007C3FA0" w:rsidRPr="00BE2872" w:rsidRDefault="007C3FA0" w:rsidP="007C3FA0">
                  <w:pPr>
                    <w:pStyle w:val="afd"/>
                    <w:ind w:right="0"/>
                    <w:jc w:val="left"/>
                    <w:rPr>
                      <w:b/>
                      <w:bCs/>
                      <w:sz w:val="22"/>
                      <w:szCs w:val="22"/>
                    </w:rPr>
                  </w:pPr>
                </w:p>
              </w:tc>
            </w:tr>
            <w:tr w:rsidR="007C3FA0" w:rsidRPr="00BE2872" w:rsidTr="007C3FA0">
              <w:tc>
                <w:tcPr>
                  <w:tcW w:w="5068" w:type="dxa"/>
                  <w:vAlign w:val="bottom"/>
                </w:tcPr>
                <w:p w:rsidR="007C3FA0" w:rsidRPr="009F5E0A" w:rsidRDefault="007C3FA0" w:rsidP="007C3FA0">
                  <w:pPr>
                    <w:rPr>
                      <w:sz w:val="22"/>
                      <w:szCs w:val="22"/>
                    </w:rPr>
                  </w:pPr>
                </w:p>
              </w:tc>
              <w:tc>
                <w:tcPr>
                  <w:tcW w:w="4568" w:type="dxa"/>
                </w:tcPr>
                <w:p w:rsidR="007C3FA0" w:rsidRPr="00BE2872" w:rsidRDefault="007C3FA0" w:rsidP="007C3FA0">
                  <w:pPr>
                    <w:pStyle w:val="afd"/>
                    <w:ind w:right="0"/>
                    <w:jc w:val="left"/>
                    <w:rPr>
                      <w:sz w:val="22"/>
                      <w:szCs w:val="22"/>
                    </w:rPr>
                  </w:pPr>
                </w:p>
              </w:tc>
            </w:tr>
            <w:tr w:rsidR="007C3FA0" w:rsidRPr="00BE2872" w:rsidTr="007C3FA0">
              <w:tc>
                <w:tcPr>
                  <w:tcW w:w="5068" w:type="dxa"/>
                </w:tcPr>
                <w:p w:rsidR="007C3FA0" w:rsidRPr="00F14339" w:rsidRDefault="007C3FA0" w:rsidP="007C3FA0">
                  <w:pPr>
                    <w:ind w:left="885" w:hanging="885"/>
                    <w:jc w:val="both"/>
                    <w:rPr>
                      <w:sz w:val="22"/>
                      <w:szCs w:val="22"/>
                    </w:rPr>
                  </w:pPr>
                  <w:r>
                    <w:rPr>
                      <w:sz w:val="22"/>
                      <w:szCs w:val="22"/>
                    </w:rPr>
                    <w:t>Руководитель бюро ГИП</w:t>
                  </w:r>
                </w:p>
                <w:p w:rsidR="007C3FA0" w:rsidRPr="009F5E0A" w:rsidRDefault="007C3FA0" w:rsidP="007C3FA0">
                  <w:pPr>
                    <w:ind w:left="885" w:hanging="885"/>
                    <w:jc w:val="both"/>
                    <w:rPr>
                      <w:sz w:val="22"/>
                      <w:szCs w:val="22"/>
                    </w:rPr>
                  </w:pPr>
                  <w:r w:rsidRPr="00D34D3E">
                    <w:rPr>
                      <w:sz w:val="22"/>
                      <w:szCs w:val="22"/>
                    </w:rPr>
                    <w:t>ООО «</w:t>
                  </w:r>
                  <w:r>
                    <w:rPr>
                      <w:sz w:val="22"/>
                      <w:szCs w:val="22"/>
                    </w:rPr>
                    <w:t>ИркутскЭнергоПроект</w:t>
                  </w:r>
                  <w:r w:rsidRPr="00D34D3E">
                    <w:rPr>
                      <w:sz w:val="22"/>
                      <w:szCs w:val="22"/>
                    </w:rPr>
                    <w:t>»</w:t>
                  </w:r>
                </w:p>
              </w:tc>
              <w:tc>
                <w:tcPr>
                  <w:tcW w:w="4568" w:type="dxa"/>
                </w:tcPr>
                <w:p w:rsidR="007C3FA0" w:rsidRPr="00BE2872" w:rsidRDefault="007C3FA0" w:rsidP="007C3FA0">
                  <w:pPr>
                    <w:pStyle w:val="afd"/>
                    <w:ind w:right="0"/>
                    <w:jc w:val="left"/>
                    <w:rPr>
                      <w:b/>
                      <w:bCs/>
                      <w:sz w:val="22"/>
                      <w:szCs w:val="22"/>
                    </w:rPr>
                  </w:pPr>
                </w:p>
              </w:tc>
            </w:tr>
            <w:tr w:rsidR="007C3FA0" w:rsidRPr="00BE2872" w:rsidTr="007C3FA0">
              <w:tc>
                <w:tcPr>
                  <w:tcW w:w="5068" w:type="dxa"/>
                  <w:vAlign w:val="bottom"/>
                </w:tcPr>
                <w:p w:rsidR="007C3FA0" w:rsidRPr="009F5E0A" w:rsidRDefault="007C3FA0" w:rsidP="007C3FA0">
                  <w:pPr>
                    <w:rPr>
                      <w:bCs/>
                      <w:sz w:val="22"/>
                      <w:szCs w:val="22"/>
                    </w:rPr>
                  </w:pPr>
                  <w:r w:rsidRPr="009F5E0A">
                    <w:rPr>
                      <w:bCs/>
                      <w:sz w:val="22"/>
                      <w:szCs w:val="22"/>
                    </w:rPr>
                    <w:t xml:space="preserve"> ______________ </w:t>
                  </w:r>
                  <w:r>
                    <w:rPr>
                      <w:bCs/>
                      <w:sz w:val="22"/>
                      <w:szCs w:val="22"/>
                    </w:rPr>
                    <w:t>Н.Б. Пуховская</w:t>
                  </w:r>
                </w:p>
                <w:p w:rsidR="007C3FA0" w:rsidRPr="009F5E0A" w:rsidRDefault="007C3FA0" w:rsidP="007C3FA0">
                  <w:pPr>
                    <w:rPr>
                      <w:sz w:val="22"/>
                      <w:szCs w:val="22"/>
                    </w:rPr>
                  </w:pPr>
                </w:p>
              </w:tc>
              <w:tc>
                <w:tcPr>
                  <w:tcW w:w="4568" w:type="dxa"/>
                </w:tcPr>
                <w:p w:rsidR="007C3FA0" w:rsidRPr="00BE2872" w:rsidRDefault="007C3FA0" w:rsidP="007C3FA0">
                  <w:pPr>
                    <w:pStyle w:val="afd"/>
                    <w:ind w:right="0"/>
                    <w:jc w:val="left"/>
                    <w:rPr>
                      <w:b/>
                      <w:bCs/>
                      <w:sz w:val="22"/>
                      <w:szCs w:val="22"/>
                    </w:rPr>
                  </w:pPr>
                  <w:r w:rsidRPr="00BE2872">
                    <w:rPr>
                      <w:sz w:val="22"/>
                      <w:szCs w:val="22"/>
                      <w:u w:val="single"/>
                    </w:rPr>
                    <w:t xml:space="preserve">_________________ </w:t>
                  </w:r>
                </w:p>
              </w:tc>
            </w:tr>
            <w:tr w:rsidR="003D5169" w:rsidRPr="00BE2872" w:rsidTr="007C3FA0">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7C3FA0">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D75976">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D75976">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3E06"/>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A35"/>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05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3C29"/>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075"/>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4CE4"/>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36E52"/>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6F7B20"/>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3FA0"/>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2809"/>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26B8"/>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4B75"/>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1440"/>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597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52B462CB"/>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2.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80B096-3184-49BE-8CF1-C15F2F84B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4649</TotalTime>
  <Pages>11</Pages>
  <Words>7088</Words>
  <Characters>40407</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Давыдов Андрей</cp:lastModifiedBy>
  <cp:revision>218</cp:revision>
  <cp:lastPrinted>2022-04-20T05:50:00Z</cp:lastPrinted>
  <dcterms:created xsi:type="dcterms:W3CDTF">2018-11-15T00:41:00Z</dcterms:created>
  <dcterms:modified xsi:type="dcterms:W3CDTF">2024-05-27T00:37:00Z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